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DB" w:rsidRPr="008B7DDB" w:rsidRDefault="008B7DDB" w:rsidP="008B7DDB">
      <w:pPr>
        <w:widowControl/>
        <w:shd w:val="clear" w:color="auto" w:fill="FFFFFF"/>
        <w:jc w:val="center"/>
        <w:outlineLvl w:val="1"/>
        <w:rPr>
          <w:rFonts w:ascii="Arial" w:eastAsia="宋体" w:hAnsi="Arial" w:cs="Arial"/>
          <w:color w:val="000000"/>
          <w:kern w:val="36"/>
          <w:sz w:val="36"/>
          <w:szCs w:val="36"/>
          <w:lang w:val="en"/>
        </w:rPr>
      </w:pPr>
      <w:bookmarkStart w:id="0" w:name="_GoBack"/>
      <w:r w:rsidRPr="008B7DDB">
        <w:rPr>
          <w:rFonts w:ascii="Arial" w:eastAsia="宋体" w:hAnsi="Arial" w:cs="Arial"/>
          <w:color w:val="000000"/>
          <w:kern w:val="36"/>
          <w:sz w:val="36"/>
          <w:szCs w:val="36"/>
          <w:lang w:val="en"/>
        </w:rPr>
        <w:t>Furnaces Key Product Criteria</w:t>
      </w: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criteria"/>
      </w:tblPr>
      <w:tblGrid>
        <w:gridCol w:w="3586"/>
        <w:gridCol w:w="4900"/>
      </w:tblGrid>
      <w:tr w:rsidR="008B7DDB" w:rsidRPr="008B7DDB" w:rsidTr="008B7DDB">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bookmarkEnd w:id="0"/>
          <w:p w:rsidR="008B7DDB" w:rsidRPr="008B7DDB" w:rsidRDefault="008B7DDB" w:rsidP="008B7DDB">
            <w:pPr>
              <w:widowControl/>
              <w:spacing w:after="360"/>
              <w:jc w:val="left"/>
              <w:rPr>
                <w:rFonts w:ascii="Arial" w:eastAsia="宋体" w:hAnsi="Arial" w:cs="Arial"/>
                <w:b/>
                <w:bCs/>
                <w:color w:val="555555"/>
                <w:kern w:val="0"/>
                <w:sz w:val="19"/>
                <w:szCs w:val="19"/>
              </w:rPr>
            </w:pPr>
            <w:r w:rsidRPr="008B7DDB">
              <w:rPr>
                <w:rFonts w:ascii="Arial" w:eastAsia="宋体" w:hAnsi="Arial" w:cs="Arial"/>
                <w:b/>
                <w:bCs/>
                <w:color w:val="555555"/>
                <w:kern w:val="0"/>
                <w:sz w:val="19"/>
                <w:szCs w:val="19"/>
              </w:rPr>
              <w:t>Equipment</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b/>
                <w:bCs/>
                <w:color w:val="555555"/>
                <w:kern w:val="0"/>
                <w:sz w:val="19"/>
                <w:szCs w:val="19"/>
              </w:rPr>
            </w:pPr>
            <w:r w:rsidRPr="008B7DDB">
              <w:rPr>
                <w:rFonts w:ascii="Arial" w:eastAsia="宋体" w:hAnsi="Arial" w:cs="Arial"/>
                <w:b/>
                <w:bCs/>
                <w:color w:val="555555"/>
                <w:kern w:val="0"/>
                <w:sz w:val="19"/>
                <w:szCs w:val="19"/>
              </w:rPr>
              <w:t>Specification</w:t>
            </w:r>
          </w:p>
        </w:tc>
      </w:tr>
      <w:tr w:rsidR="008B7DDB" w:rsidRPr="008B7DDB" w:rsidTr="008B7DDB">
        <w:tc>
          <w:tcPr>
            <w:tcW w:w="0" w:type="auto"/>
            <w:vMerge w:val="restart"/>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Gas Furnaces Key Product Criteria</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Rating of 90% AFUE or greater for U.S. South gas furnaces</w:t>
            </w:r>
          </w:p>
        </w:tc>
      </w:tr>
      <w:tr w:rsidR="008B7DDB" w:rsidRPr="008B7DDB" w:rsidTr="008B7DDB">
        <w:tc>
          <w:tcPr>
            <w:tcW w:w="0" w:type="auto"/>
            <w:vMerge/>
            <w:tcBorders>
              <w:top w:val="single" w:sz="6" w:space="0" w:color="E2E2E2"/>
              <w:left w:val="single" w:sz="6" w:space="0" w:color="E2E2E2"/>
              <w:bottom w:val="single" w:sz="6" w:space="0" w:color="E2E2E2"/>
              <w:right w:val="single" w:sz="6" w:space="0" w:color="E2E2E2"/>
            </w:tcBorders>
            <w:vAlign w:val="center"/>
            <w:hideMark/>
          </w:tcPr>
          <w:p w:rsidR="008B7DDB" w:rsidRPr="008B7DDB" w:rsidRDefault="008B7DDB" w:rsidP="008B7DDB">
            <w:pPr>
              <w:widowControl/>
              <w:jc w:val="left"/>
              <w:rPr>
                <w:rFonts w:ascii="Arial" w:eastAsia="宋体" w:hAnsi="Arial" w:cs="Arial"/>
                <w:color w:val="000000"/>
                <w:kern w:val="0"/>
                <w:sz w:val="20"/>
                <w:szCs w:val="20"/>
              </w:rPr>
            </w:pP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Rating of 95% AFUE or greater for U.S. North gas furnaces</w:t>
            </w:r>
          </w:p>
        </w:tc>
      </w:tr>
      <w:tr w:rsidR="008B7DDB" w:rsidRPr="008B7DDB" w:rsidTr="008B7DDB">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Oil Furnaces Key Product Criteria</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Rating of 85% AFUE or greater</w:t>
            </w:r>
          </w:p>
        </w:tc>
      </w:tr>
      <w:tr w:rsidR="008B7DDB" w:rsidRPr="008B7DDB" w:rsidTr="008B7DDB">
        <w:tc>
          <w:tcPr>
            <w:tcW w:w="0" w:type="auto"/>
            <w:vMerge w:val="restart"/>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Gas and Oil Furnaces Key Product Criteria</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Less than or equal to 2.0% furnace fan efficiency</w:t>
            </w:r>
          </w:p>
        </w:tc>
      </w:tr>
      <w:tr w:rsidR="008B7DDB" w:rsidRPr="008B7DDB" w:rsidTr="008B7DDB">
        <w:tc>
          <w:tcPr>
            <w:tcW w:w="0" w:type="auto"/>
            <w:vMerge/>
            <w:tcBorders>
              <w:top w:val="single" w:sz="6" w:space="0" w:color="E2E2E2"/>
              <w:left w:val="single" w:sz="6" w:space="0" w:color="E2E2E2"/>
              <w:bottom w:val="single" w:sz="6" w:space="0" w:color="E2E2E2"/>
              <w:right w:val="single" w:sz="6" w:space="0" w:color="E2E2E2"/>
            </w:tcBorders>
            <w:vAlign w:val="center"/>
            <w:hideMark/>
          </w:tcPr>
          <w:p w:rsidR="008B7DDB" w:rsidRPr="008B7DDB" w:rsidRDefault="008B7DDB" w:rsidP="008B7DDB">
            <w:pPr>
              <w:widowControl/>
              <w:jc w:val="left"/>
              <w:rPr>
                <w:rFonts w:ascii="Arial" w:eastAsia="宋体" w:hAnsi="Arial" w:cs="Arial"/>
                <w:color w:val="000000"/>
                <w:kern w:val="0"/>
                <w:sz w:val="20"/>
                <w:szCs w:val="20"/>
              </w:rPr>
            </w:pP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Less than or equal to 2.0% air leakage</w:t>
            </w:r>
          </w:p>
        </w:tc>
      </w:tr>
    </w:tbl>
    <w:p w:rsidR="008B7DDB" w:rsidRPr="008B7DDB" w:rsidRDefault="008B7DDB" w:rsidP="008B7DDB">
      <w:pPr>
        <w:widowControl/>
        <w:shd w:val="clear" w:color="auto" w:fill="FFFFFF"/>
        <w:spacing w:after="264"/>
        <w:jc w:val="left"/>
        <w:rPr>
          <w:rFonts w:ascii="Arial" w:eastAsia="宋体" w:hAnsi="Arial" w:cs="Arial"/>
          <w:color w:val="000000"/>
          <w:kern w:val="0"/>
          <w:sz w:val="18"/>
          <w:szCs w:val="18"/>
          <w:lang w:val="en"/>
        </w:rPr>
      </w:pPr>
      <w:r w:rsidRPr="008B7DDB">
        <w:rPr>
          <w:rFonts w:ascii="Arial" w:eastAsia="宋体" w:hAnsi="Arial" w:cs="Arial"/>
          <w:color w:val="000000"/>
          <w:kern w:val="0"/>
          <w:sz w:val="18"/>
          <w:szCs w:val="18"/>
          <w:lang w:val="en"/>
        </w:rPr>
        <w:t>Note: the ENERGY STAR specification for furnaces is intended for models installed and used in residences</w:t>
      </w:r>
    </w:p>
    <w:tbl>
      <w:tblPr>
        <w:tblW w:w="5000" w:type="pct"/>
        <w:tblBorders>
          <w:top w:val="single" w:sz="12" w:space="0" w:color="CCCCCC"/>
          <w:left w:val="single" w:sz="12" w:space="0" w:color="CCCCCC"/>
          <w:bottom w:val="single" w:sz="12" w:space="0" w:color="CCCCCC"/>
          <w:right w:val="single" w:sz="12" w:space="0" w:color="CCCCCC"/>
        </w:tblBorders>
        <w:tblCellMar>
          <w:top w:w="30" w:type="dxa"/>
          <w:left w:w="30" w:type="dxa"/>
          <w:bottom w:w="30" w:type="dxa"/>
          <w:right w:w="30" w:type="dxa"/>
        </w:tblCellMar>
        <w:tblLook w:val="04A0" w:firstRow="1" w:lastRow="0" w:firstColumn="1" w:lastColumn="0" w:noHBand="0" w:noVBand="1"/>
        <w:tblDescription w:val="u.s. regions"/>
      </w:tblPr>
      <w:tblGrid>
        <w:gridCol w:w="1350"/>
        <w:gridCol w:w="7136"/>
      </w:tblGrid>
      <w:tr w:rsidR="008B7DDB" w:rsidRPr="008B7DDB" w:rsidTr="008B7DDB">
        <w:tc>
          <w:tcPr>
            <w:tcW w:w="1350" w:type="dxa"/>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b/>
                <w:bCs/>
                <w:color w:val="555555"/>
                <w:kern w:val="0"/>
                <w:sz w:val="19"/>
                <w:szCs w:val="19"/>
              </w:rPr>
            </w:pPr>
            <w:r w:rsidRPr="008B7DDB">
              <w:rPr>
                <w:rFonts w:ascii="Arial" w:eastAsia="宋体" w:hAnsi="Arial" w:cs="Arial"/>
                <w:b/>
                <w:bCs/>
                <w:color w:val="555555"/>
                <w:kern w:val="0"/>
                <w:sz w:val="19"/>
                <w:szCs w:val="19"/>
              </w:rPr>
              <w:t>U.S. Regions</w:t>
            </w:r>
          </w:p>
        </w:tc>
        <w:tc>
          <w:tcPr>
            <w:tcW w:w="0" w:type="auto"/>
            <w:tcBorders>
              <w:top w:val="single" w:sz="12" w:space="0" w:color="E2E2E2"/>
              <w:left w:val="single" w:sz="12" w:space="0" w:color="E2E2E2"/>
              <w:bottom w:val="single" w:sz="12" w:space="0" w:color="E2E2E2"/>
              <w:right w:val="single" w:sz="12" w:space="0" w:color="E2E2E2"/>
            </w:tcBorders>
            <w:shd w:val="clear" w:color="auto" w:fill="F3F3F3"/>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b/>
                <w:bCs/>
                <w:color w:val="555555"/>
                <w:kern w:val="0"/>
                <w:sz w:val="19"/>
                <w:szCs w:val="19"/>
              </w:rPr>
            </w:pPr>
            <w:r w:rsidRPr="008B7DDB">
              <w:rPr>
                <w:rFonts w:ascii="Arial" w:eastAsia="宋体" w:hAnsi="Arial" w:cs="Arial"/>
                <w:b/>
                <w:bCs/>
                <w:color w:val="555555"/>
                <w:kern w:val="0"/>
                <w:sz w:val="19"/>
                <w:szCs w:val="19"/>
              </w:rPr>
              <w:t>U.S. States per Region</w:t>
            </w:r>
          </w:p>
        </w:tc>
      </w:tr>
      <w:tr w:rsidR="008B7DDB" w:rsidRPr="008B7DDB" w:rsidTr="008B7DDB">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U.S. North</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Alaska, Colorado, Connecticut, Idaho, Illinois, Indiana, Iowa, Kansas, Maine, Massachusetts, Michigan, Minnesota, Missouri, Montana, Nebraska, New Hampshire, New Jersey, New York, North Dakota, Ohio, Oregon, Pennsylvania, Rhode Island, South Dakota, Utah, Vermont, Washington, West Virginia, Wisconsin and Wyoming.</w:t>
            </w:r>
          </w:p>
        </w:tc>
      </w:tr>
      <w:tr w:rsidR="008B7DDB" w:rsidRPr="008B7DDB" w:rsidTr="008B7DDB">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U.S. South</w:t>
            </w:r>
          </w:p>
        </w:tc>
        <w:tc>
          <w:tcPr>
            <w:tcW w:w="0" w:type="auto"/>
            <w:tcBorders>
              <w:top w:val="single" w:sz="6" w:space="0" w:color="E2E2E2"/>
              <w:left w:val="single" w:sz="6" w:space="0" w:color="E2E2E2"/>
              <w:bottom w:val="single" w:sz="6" w:space="0" w:color="E2E2E2"/>
              <w:right w:val="single" w:sz="6" w:space="0" w:color="E2E2E2"/>
            </w:tcBorders>
            <w:shd w:val="clear" w:color="auto" w:fill="FFFFFF"/>
            <w:tcMar>
              <w:top w:w="90" w:type="dxa"/>
              <w:left w:w="90" w:type="dxa"/>
              <w:bottom w:w="90" w:type="dxa"/>
              <w:right w:w="90" w:type="dxa"/>
            </w:tcMar>
            <w:hideMark/>
          </w:tcPr>
          <w:p w:rsidR="008B7DDB" w:rsidRPr="008B7DDB" w:rsidRDefault="008B7DDB" w:rsidP="008B7DDB">
            <w:pPr>
              <w:widowControl/>
              <w:spacing w:after="360"/>
              <w:jc w:val="left"/>
              <w:rPr>
                <w:rFonts w:ascii="Arial" w:eastAsia="宋体" w:hAnsi="Arial" w:cs="Arial"/>
                <w:color w:val="000000"/>
                <w:kern w:val="0"/>
                <w:sz w:val="20"/>
                <w:szCs w:val="20"/>
              </w:rPr>
            </w:pPr>
            <w:r w:rsidRPr="008B7DDB">
              <w:rPr>
                <w:rFonts w:ascii="Arial" w:eastAsia="宋体" w:hAnsi="Arial" w:cs="Arial"/>
                <w:color w:val="000000"/>
                <w:kern w:val="0"/>
                <w:sz w:val="20"/>
                <w:szCs w:val="20"/>
              </w:rPr>
              <w:t>Alabama, American Samoa, Arizona, Arkansas, California, Delaware, District of Columbia, Florida, Georgia, Guam, Hawaii, Kentucky, Louisiana, Maryland, Mississippi, Nevada, New Mexico, North Carolina, Oklahoma, Puerto Rico, South Carolina, Tennessee, Texas and Virginia.</w:t>
            </w:r>
          </w:p>
        </w:tc>
      </w:tr>
    </w:tbl>
    <w:p w:rsidR="008B7DDB" w:rsidRPr="008B7DDB" w:rsidRDefault="008B7DDB" w:rsidP="008B7DDB">
      <w:pPr>
        <w:widowControl/>
        <w:shd w:val="clear" w:color="auto" w:fill="FFFFFF"/>
        <w:jc w:val="left"/>
        <w:rPr>
          <w:rFonts w:ascii="Arial" w:eastAsia="宋体" w:hAnsi="Arial" w:cs="Arial"/>
          <w:b/>
          <w:bCs/>
          <w:kern w:val="0"/>
          <w:sz w:val="19"/>
          <w:szCs w:val="19"/>
          <w:lang w:val="en"/>
        </w:rPr>
      </w:pPr>
      <w:r w:rsidRPr="008B7DDB">
        <w:rPr>
          <w:rFonts w:ascii="Arial" w:eastAsia="宋体" w:hAnsi="Arial" w:cs="Arial"/>
          <w:b/>
          <w:bCs/>
          <w:kern w:val="0"/>
          <w:sz w:val="19"/>
          <w:szCs w:val="19"/>
          <w:lang w:val="en"/>
        </w:rPr>
        <w:t xml:space="preserve">Furnace Fan Efficiency (“e”): </w:t>
      </w:r>
    </w:p>
    <w:p w:rsidR="008B7DDB" w:rsidRPr="008B7DDB" w:rsidRDefault="008B7DDB" w:rsidP="008B7DDB">
      <w:pPr>
        <w:widowControl/>
        <w:shd w:val="clear" w:color="auto" w:fill="FFFFFF"/>
        <w:spacing w:after="192"/>
        <w:ind w:left="720"/>
        <w:jc w:val="left"/>
        <w:rPr>
          <w:rFonts w:ascii="Arial" w:eastAsia="宋体" w:hAnsi="Arial" w:cs="Arial"/>
          <w:kern w:val="0"/>
          <w:sz w:val="19"/>
          <w:szCs w:val="19"/>
          <w:lang w:val="en"/>
        </w:rPr>
      </w:pPr>
      <w:r w:rsidRPr="008B7DDB">
        <w:rPr>
          <w:rFonts w:ascii="Arial" w:eastAsia="宋体" w:hAnsi="Arial" w:cs="Arial"/>
          <w:kern w:val="0"/>
          <w:sz w:val="19"/>
          <w:szCs w:val="19"/>
          <w:lang w:val="en"/>
        </w:rPr>
        <w:t xml:space="preserve">The ratio of the furnace fan electrical consumption to the total energy consumption of the furnace during the heating mode. </w:t>
      </w:r>
    </w:p>
    <w:p w:rsidR="008B7DDB" w:rsidRPr="008B7DDB" w:rsidRDefault="008B7DDB" w:rsidP="008B7DDB">
      <w:pPr>
        <w:widowControl/>
        <w:shd w:val="clear" w:color="auto" w:fill="FFFFFF"/>
        <w:jc w:val="left"/>
        <w:rPr>
          <w:rFonts w:ascii="Arial" w:eastAsia="宋体" w:hAnsi="Arial" w:cs="Arial"/>
          <w:b/>
          <w:bCs/>
          <w:kern w:val="0"/>
          <w:sz w:val="19"/>
          <w:szCs w:val="19"/>
          <w:lang w:val="en"/>
        </w:rPr>
      </w:pPr>
      <w:r w:rsidRPr="008B7DDB">
        <w:rPr>
          <w:rFonts w:ascii="Arial" w:eastAsia="宋体" w:hAnsi="Arial" w:cs="Arial"/>
          <w:b/>
          <w:bCs/>
          <w:kern w:val="0"/>
          <w:sz w:val="19"/>
          <w:szCs w:val="19"/>
          <w:lang w:val="en"/>
        </w:rPr>
        <w:t xml:space="preserve">Residential Furnace: </w:t>
      </w:r>
    </w:p>
    <w:p w:rsidR="008B7DDB" w:rsidRPr="008B7DDB" w:rsidRDefault="008B7DDB" w:rsidP="008B7DDB">
      <w:pPr>
        <w:widowControl/>
        <w:shd w:val="clear" w:color="auto" w:fill="FFFFFF"/>
        <w:spacing w:after="192"/>
        <w:ind w:left="720"/>
        <w:jc w:val="left"/>
        <w:rPr>
          <w:rFonts w:ascii="Arial" w:eastAsia="宋体" w:hAnsi="Arial" w:cs="Arial"/>
          <w:kern w:val="0"/>
          <w:sz w:val="19"/>
          <w:szCs w:val="19"/>
          <w:lang w:val="en"/>
        </w:rPr>
      </w:pPr>
      <w:r w:rsidRPr="008B7DDB">
        <w:rPr>
          <w:rFonts w:ascii="Arial" w:eastAsia="宋体" w:hAnsi="Arial" w:cs="Arial"/>
          <w:kern w:val="0"/>
          <w:sz w:val="19"/>
          <w:szCs w:val="19"/>
          <w:lang w:val="en"/>
        </w:rPr>
        <w:lastRenderedPageBreak/>
        <w:t xml:space="preserve">A heating unit with a heat input rate of less than 225,000 Btu per hour whose function is the combustion of fossil fuel (natural gas, propane, or oil) for space heating with forced hot air. Unit must include burner(s), heat exchanger(s), blower(s) and connections to heating ducts. A heating unit that meets this definition and also provides hot water for domestic or other use may be considered a furnace for purposes of this agreement. </w:t>
      </w:r>
    </w:p>
    <w:p w:rsidR="008B7DDB" w:rsidRPr="008B7DDB" w:rsidRDefault="008B7DDB" w:rsidP="008B7DDB">
      <w:pPr>
        <w:widowControl/>
        <w:shd w:val="clear" w:color="auto" w:fill="FFFFFF"/>
        <w:jc w:val="left"/>
        <w:rPr>
          <w:rFonts w:ascii="Arial" w:eastAsia="宋体" w:hAnsi="Arial" w:cs="Arial"/>
          <w:b/>
          <w:bCs/>
          <w:kern w:val="0"/>
          <w:sz w:val="19"/>
          <w:szCs w:val="19"/>
          <w:lang w:val="en"/>
        </w:rPr>
      </w:pPr>
      <w:r w:rsidRPr="008B7DDB">
        <w:rPr>
          <w:rFonts w:ascii="Arial" w:eastAsia="宋体" w:hAnsi="Arial" w:cs="Arial"/>
          <w:b/>
          <w:bCs/>
          <w:kern w:val="0"/>
          <w:sz w:val="19"/>
          <w:szCs w:val="19"/>
          <w:lang w:val="en"/>
        </w:rPr>
        <w:t xml:space="preserve">Annual Fuel Utilization Efficiency (AFUE): </w:t>
      </w:r>
    </w:p>
    <w:p w:rsidR="008B7DDB" w:rsidRPr="008B7DDB" w:rsidRDefault="008B7DDB" w:rsidP="008B7DDB">
      <w:pPr>
        <w:widowControl/>
        <w:shd w:val="clear" w:color="auto" w:fill="FFFFFF"/>
        <w:spacing w:after="192"/>
        <w:ind w:left="720"/>
        <w:jc w:val="left"/>
        <w:rPr>
          <w:rFonts w:ascii="Arial" w:eastAsia="宋体" w:hAnsi="Arial" w:cs="Arial"/>
          <w:kern w:val="0"/>
          <w:sz w:val="19"/>
          <w:szCs w:val="19"/>
          <w:lang w:val="en"/>
        </w:rPr>
      </w:pPr>
      <w:r w:rsidRPr="008B7DDB">
        <w:rPr>
          <w:rFonts w:ascii="Arial" w:eastAsia="宋体" w:hAnsi="Arial" w:cs="Arial"/>
          <w:kern w:val="0"/>
          <w:sz w:val="19"/>
          <w:szCs w:val="19"/>
          <w:lang w:val="en"/>
        </w:rPr>
        <w:t xml:space="preserve">For the exact definition of AFUE, refer to the federal test method 10 CFR 430, Appendix N to Subpart B. </w:t>
      </w:r>
      <w:proofErr w:type="gramStart"/>
      <w:r w:rsidRPr="008B7DDB">
        <w:rPr>
          <w:rFonts w:ascii="Arial" w:eastAsia="宋体" w:hAnsi="Arial" w:cs="Arial"/>
          <w:kern w:val="0"/>
          <w:sz w:val="19"/>
          <w:szCs w:val="19"/>
          <w:lang w:val="en"/>
        </w:rPr>
        <w:t>In general, the percentage of the heat in the incoming fuel which is converted to space heat instead of being lost.</w:t>
      </w:r>
      <w:proofErr w:type="gramEnd"/>
      <w:r w:rsidRPr="008B7DDB">
        <w:rPr>
          <w:rFonts w:ascii="Arial" w:eastAsia="宋体" w:hAnsi="Arial" w:cs="Arial"/>
          <w:kern w:val="0"/>
          <w:sz w:val="19"/>
          <w:szCs w:val="19"/>
          <w:lang w:val="en"/>
        </w:rPr>
        <w:t xml:space="preserve"> </w:t>
      </w:r>
    </w:p>
    <w:p w:rsidR="008B7DDB" w:rsidRPr="008B7DDB" w:rsidRDefault="008B7DDB" w:rsidP="008B7DDB">
      <w:pPr>
        <w:widowControl/>
        <w:shd w:val="clear" w:color="auto" w:fill="FFFFFF"/>
        <w:jc w:val="left"/>
        <w:rPr>
          <w:rFonts w:ascii="Arial" w:eastAsia="宋体" w:hAnsi="Arial" w:cs="Arial"/>
          <w:b/>
          <w:bCs/>
          <w:kern w:val="0"/>
          <w:sz w:val="19"/>
          <w:szCs w:val="19"/>
          <w:lang w:val="en"/>
        </w:rPr>
      </w:pPr>
      <w:r w:rsidRPr="008B7DDB">
        <w:rPr>
          <w:rFonts w:ascii="Arial" w:eastAsia="宋体" w:hAnsi="Arial" w:cs="Arial"/>
          <w:b/>
          <w:bCs/>
          <w:kern w:val="0"/>
          <w:sz w:val="19"/>
          <w:szCs w:val="19"/>
          <w:lang w:val="en"/>
        </w:rPr>
        <w:t>Air Leakage (</w:t>
      </w:r>
      <w:proofErr w:type="spellStart"/>
      <w:r w:rsidRPr="008B7DDB">
        <w:rPr>
          <w:rFonts w:ascii="Arial" w:eastAsia="宋体" w:hAnsi="Arial" w:cs="Arial"/>
          <w:b/>
          <w:bCs/>
          <w:kern w:val="0"/>
          <w:sz w:val="19"/>
          <w:szCs w:val="19"/>
          <w:lang w:val="en"/>
        </w:rPr>
        <w:t>Q</w:t>
      </w:r>
      <w:r w:rsidRPr="008B7DDB">
        <w:rPr>
          <w:rFonts w:ascii="Arial" w:eastAsia="宋体" w:hAnsi="Arial" w:cs="Arial"/>
          <w:b/>
          <w:bCs/>
          <w:kern w:val="0"/>
          <w:sz w:val="19"/>
          <w:szCs w:val="19"/>
          <w:vertAlign w:val="subscript"/>
          <w:lang w:val="en"/>
        </w:rPr>
        <w:t>leak</w:t>
      </w:r>
      <w:proofErr w:type="spellEnd"/>
      <w:r w:rsidRPr="008B7DDB">
        <w:rPr>
          <w:rFonts w:ascii="Arial" w:eastAsia="宋体" w:hAnsi="Arial" w:cs="Arial"/>
          <w:b/>
          <w:bCs/>
          <w:kern w:val="0"/>
          <w:sz w:val="19"/>
          <w:szCs w:val="19"/>
          <w:lang w:val="en"/>
        </w:rPr>
        <w:t xml:space="preserve">): </w:t>
      </w:r>
    </w:p>
    <w:p w:rsidR="008B7DDB" w:rsidRPr="008B7DDB" w:rsidRDefault="008B7DDB" w:rsidP="008B7DDB">
      <w:pPr>
        <w:widowControl/>
        <w:shd w:val="clear" w:color="auto" w:fill="FFFFFF"/>
        <w:spacing w:after="192"/>
        <w:ind w:left="720"/>
        <w:jc w:val="left"/>
        <w:rPr>
          <w:rFonts w:ascii="Arial" w:eastAsia="宋体" w:hAnsi="Arial" w:cs="Arial"/>
          <w:kern w:val="0"/>
          <w:sz w:val="19"/>
          <w:szCs w:val="19"/>
          <w:lang w:val="en"/>
        </w:rPr>
      </w:pPr>
      <w:r w:rsidRPr="008B7DDB">
        <w:rPr>
          <w:rFonts w:ascii="Arial" w:eastAsia="宋体" w:hAnsi="Arial" w:cs="Arial"/>
          <w:kern w:val="0"/>
          <w:sz w:val="19"/>
          <w:szCs w:val="19"/>
          <w:lang w:val="en"/>
        </w:rPr>
        <w:t xml:space="preserve">The percent of the rated airflow of the fan that is required to maintain the applied pressures, accounting for air that leaves or enters through cracks, joints and penetrations in the furnace cabinet rather than through supply and return ducts installed in accordance with manufacturer’s instructions. </w:t>
      </w:r>
    </w:p>
    <w:p w:rsidR="00626DBD" w:rsidRPr="008B7DDB" w:rsidRDefault="00626DBD">
      <w:pPr>
        <w:rPr>
          <w:lang w:val="en"/>
        </w:rPr>
      </w:pPr>
    </w:p>
    <w:sectPr w:rsidR="00626DBD" w:rsidRPr="008B7D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E94" w:rsidRDefault="00C77E94" w:rsidP="008B7DDB">
      <w:r>
        <w:separator/>
      </w:r>
    </w:p>
  </w:endnote>
  <w:endnote w:type="continuationSeparator" w:id="0">
    <w:p w:rsidR="00C77E94" w:rsidRDefault="00C77E94" w:rsidP="008B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E94" w:rsidRDefault="00C77E94" w:rsidP="008B7DDB">
      <w:r>
        <w:separator/>
      </w:r>
    </w:p>
  </w:footnote>
  <w:footnote w:type="continuationSeparator" w:id="0">
    <w:p w:rsidR="00C77E94" w:rsidRDefault="00C77E94" w:rsidP="008B7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54"/>
    <w:rsid w:val="00626DBD"/>
    <w:rsid w:val="008B7DDB"/>
    <w:rsid w:val="00A80454"/>
    <w:rsid w:val="00C7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D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7DDB"/>
    <w:rPr>
      <w:sz w:val="18"/>
      <w:szCs w:val="18"/>
    </w:rPr>
  </w:style>
  <w:style w:type="paragraph" w:styleId="a4">
    <w:name w:val="footer"/>
    <w:basedOn w:val="a"/>
    <w:link w:val="Char0"/>
    <w:uiPriority w:val="99"/>
    <w:unhideWhenUsed/>
    <w:rsid w:val="008B7DDB"/>
    <w:pPr>
      <w:tabs>
        <w:tab w:val="center" w:pos="4153"/>
        <w:tab w:val="right" w:pos="8306"/>
      </w:tabs>
      <w:snapToGrid w:val="0"/>
      <w:jc w:val="left"/>
    </w:pPr>
    <w:rPr>
      <w:sz w:val="18"/>
      <w:szCs w:val="18"/>
    </w:rPr>
  </w:style>
  <w:style w:type="character" w:customStyle="1" w:styleId="Char0">
    <w:name w:val="页脚 Char"/>
    <w:basedOn w:val="a0"/>
    <w:link w:val="a4"/>
    <w:uiPriority w:val="99"/>
    <w:rsid w:val="008B7DDB"/>
    <w:rPr>
      <w:sz w:val="18"/>
      <w:szCs w:val="18"/>
    </w:rPr>
  </w:style>
  <w:style w:type="paragraph" w:customStyle="1" w:styleId="caption1">
    <w:name w:val="caption1"/>
    <w:basedOn w:val="a"/>
    <w:rsid w:val="008B7DDB"/>
    <w:pPr>
      <w:widowControl/>
      <w:spacing w:after="264"/>
      <w:jc w:val="left"/>
    </w:pPr>
    <w:rPr>
      <w:rFonts w:ascii="Arial" w:eastAsia="宋体" w:hAnsi="Arial" w:cs="Arial"/>
      <w:color w:val="000000"/>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D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7DDB"/>
    <w:rPr>
      <w:sz w:val="18"/>
      <w:szCs w:val="18"/>
    </w:rPr>
  </w:style>
  <w:style w:type="paragraph" w:styleId="a4">
    <w:name w:val="footer"/>
    <w:basedOn w:val="a"/>
    <w:link w:val="Char0"/>
    <w:uiPriority w:val="99"/>
    <w:unhideWhenUsed/>
    <w:rsid w:val="008B7DDB"/>
    <w:pPr>
      <w:tabs>
        <w:tab w:val="center" w:pos="4153"/>
        <w:tab w:val="right" w:pos="8306"/>
      </w:tabs>
      <w:snapToGrid w:val="0"/>
      <w:jc w:val="left"/>
    </w:pPr>
    <w:rPr>
      <w:sz w:val="18"/>
      <w:szCs w:val="18"/>
    </w:rPr>
  </w:style>
  <w:style w:type="character" w:customStyle="1" w:styleId="Char0">
    <w:name w:val="页脚 Char"/>
    <w:basedOn w:val="a0"/>
    <w:link w:val="a4"/>
    <w:uiPriority w:val="99"/>
    <w:rsid w:val="008B7DDB"/>
    <w:rPr>
      <w:sz w:val="18"/>
      <w:szCs w:val="18"/>
    </w:rPr>
  </w:style>
  <w:style w:type="paragraph" w:customStyle="1" w:styleId="caption1">
    <w:name w:val="caption1"/>
    <w:basedOn w:val="a"/>
    <w:rsid w:val="008B7DDB"/>
    <w:pPr>
      <w:widowControl/>
      <w:spacing w:after="264"/>
      <w:jc w:val="left"/>
    </w:pPr>
    <w:rPr>
      <w:rFonts w:ascii="Arial" w:eastAsia="宋体" w:hAnsi="Arial" w:cs="Arial"/>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2838">
      <w:bodyDiv w:val="1"/>
      <w:marLeft w:val="0"/>
      <w:marRight w:val="0"/>
      <w:marTop w:val="0"/>
      <w:marBottom w:val="0"/>
      <w:divBdr>
        <w:top w:val="none" w:sz="0" w:space="0" w:color="auto"/>
        <w:left w:val="none" w:sz="0" w:space="0" w:color="auto"/>
        <w:bottom w:val="none" w:sz="0" w:space="0" w:color="auto"/>
        <w:right w:val="none" w:sz="0" w:space="0" w:color="auto"/>
      </w:divBdr>
      <w:divsChild>
        <w:div w:id="1257715790">
          <w:marLeft w:val="0"/>
          <w:marRight w:val="0"/>
          <w:marTop w:val="0"/>
          <w:marBottom w:val="0"/>
          <w:divBdr>
            <w:top w:val="none" w:sz="0" w:space="0" w:color="auto"/>
            <w:left w:val="none" w:sz="0" w:space="0" w:color="auto"/>
            <w:bottom w:val="none" w:sz="0" w:space="0" w:color="auto"/>
            <w:right w:val="none" w:sz="0" w:space="0" w:color="auto"/>
          </w:divBdr>
          <w:divsChild>
            <w:div w:id="1445421171">
              <w:marLeft w:val="0"/>
              <w:marRight w:val="0"/>
              <w:marTop w:val="0"/>
              <w:marBottom w:val="0"/>
              <w:divBdr>
                <w:top w:val="none" w:sz="0" w:space="0" w:color="auto"/>
                <w:left w:val="none" w:sz="0" w:space="0" w:color="auto"/>
                <w:bottom w:val="none" w:sz="0" w:space="0" w:color="auto"/>
                <w:right w:val="none" w:sz="0" w:space="0" w:color="auto"/>
              </w:divBdr>
              <w:divsChild>
                <w:div w:id="1671714781">
                  <w:marLeft w:val="0"/>
                  <w:marRight w:val="0"/>
                  <w:marTop w:val="0"/>
                  <w:marBottom w:val="0"/>
                  <w:divBdr>
                    <w:top w:val="none" w:sz="0" w:space="0" w:color="auto"/>
                    <w:left w:val="none" w:sz="0" w:space="0" w:color="auto"/>
                    <w:bottom w:val="none" w:sz="0" w:space="0" w:color="auto"/>
                    <w:right w:val="none" w:sz="0" w:space="0" w:color="auto"/>
                  </w:divBdr>
                  <w:divsChild>
                    <w:div w:id="1181504826">
                      <w:marLeft w:val="0"/>
                      <w:marRight w:val="0"/>
                      <w:marTop w:val="0"/>
                      <w:marBottom w:val="0"/>
                      <w:divBdr>
                        <w:top w:val="none" w:sz="0" w:space="0" w:color="auto"/>
                        <w:left w:val="none" w:sz="0" w:space="0" w:color="auto"/>
                        <w:bottom w:val="none" w:sz="0" w:space="0" w:color="auto"/>
                        <w:right w:val="none" w:sz="0" w:space="0" w:color="auto"/>
                      </w:divBdr>
                    </w:div>
                    <w:div w:id="3967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罗方</dc:creator>
  <cp:keywords/>
  <dc:description/>
  <cp:lastModifiedBy>罗方</cp:lastModifiedBy>
  <cp:revision>2</cp:revision>
  <dcterms:created xsi:type="dcterms:W3CDTF">2013-08-07T03:13:00Z</dcterms:created>
  <dcterms:modified xsi:type="dcterms:W3CDTF">2013-08-07T03:13:00Z</dcterms:modified>
</cp:coreProperties>
</file>